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114300" distR="114300">
            <wp:extent cx="447675" cy="608965"/>
            <wp:effectExtent b="0" l="0" r="0" t="0"/>
            <wp:docPr id="1027"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47675" cy="60896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 25 жовтня 2022 року                   м. Сквира                             №</w:t>
      </w:r>
      <w:r w:rsidDel="00000000" w:rsidR="00000000" w:rsidRPr="00000000">
        <w:rPr>
          <w:b w:val="1"/>
          <w:sz w:val="28"/>
          <w:szCs w:val="28"/>
          <w:rtl w:val="0"/>
        </w:rPr>
        <w:t xml:space="preserve">13-25-VІІІ</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tbl>
      <w:tblPr>
        <w:tblStyle w:val="Table1"/>
        <w:tblW w:w="6771.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771"/>
        <w:tblGridChange w:id="0">
          <w:tblGrid>
            <w:gridCol w:w="6771"/>
          </w:tblGrid>
        </w:tblGridChange>
      </w:tblGrid>
      <w:tr>
        <w:trPr>
          <w:cantSplit w:val="0"/>
          <w:trHeight w:val="884" w:hRule="atLeast"/>
          <w:tblHeader w:val="0"/>
        </w:trPr>
        <w:tc>
          <w:tcPr>
            <w:tcBorders>
              <w:top w:color="000000" w:space="0" w:sz="0" w:val="nil"/>
              <w:left w:color="000000" w:space="0" w:sz="0" w:val="nil"/>
              <w:bottom w:color="000000" w:space="0" w:sz="0" w:val="nil"/>
              <w:right w:color="000000" w:space="0" w:sz="0" w:val="nil"/>
            </w:tcBorders>
            <w:vAlign w:val="top"/>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Про ефективне використання об'єктів</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комунальної власності Сквирської міської ради</w:t>
            </w: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Керуючись законами України «Про місцеве самоврядування в Україні», «Про оренду державного та комунального майна», «Про приватизацію державного і комунального майна», заслухавши інформацію начальниці відділу капітального будівництва, комунальної власності та житлово-комунального господарства Капітанюк Н.М., враховуючи пропозиції постійної комісії з питань комунального майна, житлово-комунального господарства, благоустрою та охорони навколишнього середовища,  Сквирська міська рада VIII скликання</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 И Р І Ш И Л А:</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pos="850.393700787401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r w:rsidDel="00000000" w:rsidR="00000000" w:rsidRPr="00000000">
        <w:rPr>
          <w:sz w:val="28"/>
          <w:szCs w:val="28"/>
          <w:rtl w:val="0"/>
        </w:rPr>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Інформацію начальниці відділу капітального будівництва, комунальної власності та житлово-комунального господарства Капітанюк Н.М. про ефективне використання </w:t>
      </w:r>
      <w:r w:rsidDel="00000000" w:rsidR="00000000" w:rsidRPr="00000000">
        <w:rPr>
          <w:sz w:val="28"/>
          <w:szCs w:val="28"/>
          <w:rtl w:val="0"/>
        </w:rPr>
        <w:t xml:space="preserve">об'єктів</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комунальної власності Сквирської міської ради взяти до відома (додається).</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0.393700787401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w:t>
      </w:r>
      <w:r w:rsidDel="00000000" w:rsidR="00000000" w:rsidRPr="00000000">
        <w:rPr>
          <w:sz w:val="28"/>
          <w:szCs w:val="28"/>
          <w:rtl w:val="0"/>
        </w:rPr>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Відділу капітального будівництва, комунальної власності та житлово-комунального  господарства Сквирської міської ради:</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0.393700787401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продовжити роботу щодо обліку нерухомого майна, врахування його руху, виготовлення технічних паспортів та реєстрації права власності на об’єкти нерухомого  комунального майна;</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0.393700787401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подати на затвердження сесії уточнений Перелік об’єктів нерухомого майна комунальної власності Сквирської міської територіальної громади;</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0.393700787401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продовжити процедуру передачі в оренду комунального майна в порядку, встановленому чинним законодавством;</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0.393700787401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забезпечити підготовку об’єктів нерухомого майна до приватизації в порядку, встановленому чинним законодавством.</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0.3937007874015"/>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w:t>
      </w:r>
      <w:r w:rsidDel="00000000" w:rsidR="00000000" w:rsidRPr="00000000">
        <w:rPr>
          <w:sz w:val="28"/>
          <w:szCs w:val="28"/>
          <w:rtl w:val="0"/>
        </w:rPr>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Балансоутримувачам нерухомого майна протягом листопада 2022 року внести зміни до  переліків нерухомого майна, яке перебуває в них на балансі, привівши їх у відповідність до вимог чинного законодавства (перевірити адреси, площі, наявність в переліку всіх будівель, які зазначені в технічних паспортах тощо).</w:t>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0.3937007874015"/>
          <w:tab w:val="left" w:pos="851"/>
          <w:tab w:val="left" w:pos="993"/>
        </w:tabs>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r w:rsidDel="00000000" w:rsidR="00000000" w:rsidRPr="00000000">
        <w:rPr>
          <w:sz w:val="28"/>
          <w:szCs w:val="28"/>
          <w:rtl w:val="0"/>
        </w:rPr>
        <w:tab/>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Контроль за виконанням рішення покласти на постійну комісію Сквирської міської ради з питань комунального майна, житлово-комунального господарства, благоустрою та охорони навколишнього середовища.</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7"/>
          <w:szCs w:val="27"/>
          <w:u w:val="none"/>
          <w:shd w:fill="auto" w:val="clear"/>
          <w:vertAlign w:val="baseline"/>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521"/>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Додаток </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 рішення сесії</w:t>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Сквирської  міської ради</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8"/>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від 25.10.2022</w:t>
      </w:r>
      <w:r w:rsidDel="00000000" w:rsidR="00000000" w:rsidRPr="00000000">
        <w:rPr>
          <w:b w:val="1"/>
          <w:sz w:val="24"/>
          <w:szCs w:val="24"/>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w:t>
      </w:r>
      <w:r w:rsidDel="00000000" w:rsidR="00000000" w:rsidRPr="00000000">
        <w:rPr>
          <w:b w:val="1"/>
          <w:sz w:val="24"/>
          <w:szCs w:val="24"/>
          <w:rtl w:val="0"/>
        </w:rPr>
        <w:t xml:space="preserve">13-</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25-VIII</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ЗВІТ </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відділу капітального будівництва, комунальної власності та житлово-комунального господарства про ефективне використання об'єктів комунальної власності Сквирської міської ради</w:t>
      </w: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Комунальна власність є однією із складових ресурсного потенціалу розвитку територій, що забезпечує виконання багатьох функцій і завдань органів місцевого самоврядування та є джерелом формування значної частини фінансових ресурсів.</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Законом України «Про місцеве самоврядування в Україні» визначено право комунальної власності – це право територіальної громади володіти, доцільно, економно, ефективно користуватися і розпоряджатися на свій розсуд і в своїх інтересах майном, що належить їй, як безпосередньо, так і через органи місцевого самоврядування.</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Підвищення ефективності використання комунального майна, встановлення чітких, прозорих та контрольованих механізмів і процедур у даній сфері є запорукою зміцнення економічних основ місцевого самоврядування.</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Функції управління майном, що перебуває у комунальній власності Сквирської міської територіальної громади, покладені на відділ капітального будівництва, комунальної власності та житлово-комунального господарства (далі – Відділ) відповідно до положення про Відділ, затвердженого рішенням сесії Сквирської міської ради від 22.12.2020 №27-3-VІІІ.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ab/>
        <w:t xml:space="preserve">Основними функціями Відділу в частині управління комунальним майном є:</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здійснення обліку майна комунальної власності, забезпечення контролю за його використанням, збереженням; слідкування за його рухом, обмін та передача з балансу на баланс відділів міської ради, комунальних підприємств майна, яке знаходиться у них на правах господарського відання або оперативного управління; закріплення за зазначеними структурами майна комунальної власності на правах господарського відання, оперативного управління у порядку, встановленому чинним законодавством;</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здійснення процедури прийняття об'єктів інших форм власності до комунальної власності та навпаки, в порядку, встановленому чинним законодавством;</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здійснення процедури передачі в оренду комунального майна в порядку, встановленому чинним законодавством, та забезпечення надходжень коштів від орендної плати до місцевого бюджету; </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здійснення процедури приватизації (відчуження) об'єктів комунальної власності та контролю за виконанням умов договорів купівлі-продажу в порядку, встановленому чинним законодавством та інше.</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 комунального майна новоствореної в 2020 році Сквирської міської територіальної громади увійшло майно Сквирської міської ради, майно реорганізованих сільських рад та майно спільної власності територіальних громад ліквідованого Сквирського району. Протягом 2021 року майно було передано в оперативне управління та господарське відання структурним підрозділам міської ради, комунальним підприємствам та установам відповідно до сфери діяльності.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впорядкування та обліку об’єктів нерухомого майна комунальної власності Сквирської міської територіальної громади протягом 2022 року  Відділом продовжувалась робота з балансоутримувачами майна щодо внесення уточнень та змін до загального Переліку об’єктів нерухомого майна комунальної власності Сквирської міської територіальної громади, який був затвердження рішенням сесії  від 08.06.2021 № 09-8-VІІІ. Уточнювались юридичні адреси будівель, площі будівель, перелік доповнено новими даними щодо наявності технічних паспортів на будівлі, витягів з  Державного реєстру речових прав на нерухоме майно про реєстрацію права власності, інформацією щодо перебування приміщень в оренді.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Перелік об’єктів нерухомого майна зазнає постійних змін з об’єктивних причин, це: зміна балансоутримувача, прийняття у комунальну власність об’єктів,  прийняття рішень міською радою щодо припинення та створення комунальних підприємств, отримання витягів щодо реєстрації права власності, виготовлення технічних паспортів.</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Відділом сформовано справи на кожен об’єкт нерухомого майна, в яких знаходиться технічний паспорт на будівлю або його копія, витяг з Державного реєстру речових прав на нерухоме майно про реєстрацію права власності, інформація щодо адреси будівлі, земельної ділянки  тощо. Справи розміщено за балансоутримувачами.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Всього станом на 01.10.2022 загальна кількість об’єктів нерухомого майна складає 288, з них 253 будівлі та гідротехнічні споруди. Балансоутримувачами об’єктів нерухомого майна Сквирської міської територіальної громади є 11 юридичних осіб, за якими майно закріплено на праві оперативного управління або господарського відання., в тому числі:</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Сквирська міська рада – 40 об’єктів;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відділ освіти Сквирської міська рада – 33 об’єкти;</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відділ культури, молоді та спорту  Сквирської міської ради  - 31 об’єкт;</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відділ капітального будівництва, комунальної власності та житлово-комунального господарства Сквирської міської ради - 85 об’єктів;</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комунальне некомерційне підприємство Сквирської міської ради «Сквирська центральна міська лікарня» - 1 об’єкт;</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комунальне некомерційне підприємство Сквирської міської ради «Сквирський міський центр первинної медико-санітарної допомоги» - 32 об’єкти;</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комунальна установа Сквирської міської ради «Центр надання соціальних послуг» - 2 об’єкти;</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комунальне підприємство Сквирської міської ради «Сквирська центральна аптека №25» - 3 об’єкти;</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комунальне підприємство «Сквирське комунальне господарство» - 2 об’єкти;</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комунальне підприємство «Сквираблагоустрій» - 11 об’єктів;</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комунальне підприємство «Сквир-водоканал» - 44 об’єкти.</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 метою ефективного управління майном Відділом протягом січня-жовтня поточного року було підготовлено 15 проєктів рішень сесії щодо передачі майна від одного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балансоутримувача до іншого, прийняття майна </w:t>
      </w:r>
      <w:r w:rsidDel="00000000" w:rsidR="00000000" w:rsidRPr="00000000">
        <w:rPr>
          <w:sz w:val="28"/>
          <w:szCs w:val="28"/>
          <w:rtl w:val="0"/>
        </w:rPr>
        <w:t xml:space="preserve">у</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власність міської ради, підготовлено 8 актів приймання-передачі майна, яке передавалось на баланс або з балансу Відділу, та зразки актів приймання-передачі майна для інших балансоутримувачів. Після прийняття відповідних рішень  вносяться зміни до загального Переліку об’єктів нерухомого майна комунальної власності.</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захисту майнових прав Сквирської міської територіальної громади протягом звітного періоду</w:t>
        <w:tab/>
        <w:t xml:space="preserve"> Відділом проводилась робота щодо передачі пакетів документів на нерухоме майно з відповідними рішеннями та актами приймання-передачі майна державним реєстраторам – всього було передано 35 справ.</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Протягом 2022 року за міською радою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зареєстровано право власності</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на 34 об'єкти нерухомого майна.</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Всього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 258 об’єктів нерухомого майна (будівель та гідротехнічних споруд)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зареєстровано</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право власності на  179 об'єктів. Робота в цьому напрямку з лютого 2022 року була призупинена в зв’язку  з введенням воєнного стану та продовжена з серпня поточного року.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Підготовлено перелік об’єктів, на які потрібно виготовити технічні паспорти (55 шт. без гідроспоруд  та будівель, що перебувають на балансі комунальних підприємств). На цей час закупівля послуги не проводилась, оскільки  багато об’єктів з переліку не мають номерів будинків. До того ж через казначейську службу фінансування не здійснюється.</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По 15 будівлях підготовлено та надіслано запити до Фонду державного майна щодо надання відомостей, що підтверджують факт відсутності або перебування об’єктів нерухомого майна у державній власності.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 виконання рішень міської ради про передачу майна відділам міської ради, комунальним підприємствам, установам, організаціям відділом всього було підготовлено 69 договорів господарського відання та оперативного управління майном, в тому числі 50 – в поточному році, 12 з них зараз перебуває на реєстрації</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За 9 місяців 2022 року на фінансування сфери управління комунальним майном громади  по Програмі  управління комунальним майном  Сквирської міської територіальної громади на 2021-2025 роки виділено 300,0 тис.грн. Кошти використано в сумі 38,4 грн., на послуги з експертної оцінки майна та рецензування звітів з експертної оцінки майна.</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Ефективне використання майна — головна умова реалізації права комунальної власності територіальної громади. Одним з головних завдань Відділу є забезпечення виконання доходної частини міського бюджету від передачі об’єктів нерухомого майна в орендне користування та коштів від відчуження (продажу) комунального майна.</w: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6502400</wp:posOffset>
                </wp:positionH>
                <wp:positionV relativeFrom="paragraph">
                  <wp:posOffset>63500</wp:posOffset>
                </wp:positionV>
                <wp:extent cx="75565" cy="103505"/>
                <wp:effectExtent b="0" l="0" r="0" t="0"/>
                <wp:wrapNone/>
                <wp:docPr id="1026" name=""/>
                <a:graphic>
                  <a:graphicData uri="http://schemas.microsoft.com/office/word/2010/wordprocessingShape">
                    <wps:wsp>
                      <wps:cNvCnPr/>
                      <wps:spPr>
                        <a:xfrm>
                          <a:off x="5312980" y="3733010"/>
                          <a:ext cx="66040" cy="9398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6502400</wp:posOffset>
                </wp:positionH>
                <wp:positionV relativeFrom="paragraph">
                  <wp:posOffset>63500</wp:posOffset>
                </wp:positionV>
                <wp:extent cx="75565" cy="103505"/>
                <wp:effectExtent b="0" l="0" r="0" t="0"/>
                <wp:wrapNone/>
                <wp:docPr id="1026"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75565" cy="103505"/>
                        </a:xfrm>
                        <a:prstGeom prst="rect"/>
                        <a:ln/>
                      </pic:spPr>
                    </pic:pic>
                  </a:graphicData>
                </a:graphic>
              </wp:anchor>
            </w:drawing>
          </mc:Fallback>
        </mc:AlternateConten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Станом на 01.10.2022 року забезпечено надходження коштів до місцевого бюджету від оренди майна, яке належить до комунальної власності територіальної громади, в обсязі 508,8 тис.грн., що становить 169,7% виконання до запланованого показника на відповідний період. Найбільшими платниками в звітному періоді були:</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2"/>
        <w:tblW w:w="7225.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64"/>
        <w:gridCol w:w="3261"/>
        <w:tblGridChange w:id="0">
          <w:tblGrid>
            <w:gridCol w:w="3964"/>
            <w:gridCol w:w="3261"/>
          </w:tblGrid>
        </w:tblGridChange>
      </w:tblGrid>
      <w:tr>
        <w:trPr>
          <w:cantSplit w:val="0"/>
          <w:trHeight w:val="300" w:hRule="atLeast"/>
          <w:tblHeader w:val="0"/>
        </w:trPr>
        <w:tc>
          <w:tcP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Платник</w:t>
            </w:r>
          </w:p>
        </w:tc>
        <w:tc>
          <w:tcP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Сплачено, тис.грн.</w:t>
            </w:r>
          </w:p>
        </w:tc>
      </w:tr>
      <w:tr>
        <w:trPr>
          <w:cantSplit w:val="0"/>
          <w:trHeight w:val="300" w:hRule="atLeast"/>
          <w:tblHeader w:val="0"/>
        </w:trPr>
        <w:tc>
          <w:tcPr>
            <w:vAlign w:val="center"/>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ТОВ "Енергобюджет</w:t>
            </w:r>
          </w:p>
        </w:tc>
        <w:tc>
          <w:tcP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70,2</w:t>
            </w:r>
          </w:p>
        </w:tc>
      </w:tr>
      <w:tr>
        <w:trPr>
          <w:cantSplit w:val="0"/>
          <w:trHeight w:val="300" w:hRule="atLeast"/>
          <w:tblHeader w:val="0"/>
        </w:trPr>
        <w:tc>
          <w:tcPr>
            <w:vAlign w:val="cente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ПП "Роммед"</w:t>
            </w:r>
          </w:p>
        </w:tc>
        <w:tc>
          <w:tcPr>
            <w:vAlign w:val="cente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54,7</w:t>
            </w:r>
          </w:p>
        </w:tc>
      </w:tr>
      <w:tr>
        <w:trPr>
          <w:cantSplit w:val="0"/>
          <w:trHeight w:val="300" w:hRule="atLeast"/>
          <w:tblHeader w:val="0"/>
        </w:trPr>
        <w:tc>
          <w:tcPr>
            <w:vAlign w:val="cente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ФОП Приходько К.Д.</w:t>
            </w:r>
          </w:p>
        </w:tc>
        <w:tc>
          <w:tcPr>
            <w:vAlign w:val="cente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52,5</w:t>
            </w:r>
          </w:p>
        </w:tc>
      </w:tr>
      <w:tr>
        <w:trPr>
          <w:cantSplit w:val="0"/>
          <w:trHeight w:val="300" w:hRule="atLeast"/>
          <w:tblHeader w:val="0"/>
        </w:trPr>
        <w:tc>
          <w:tcPr>
            <w:vAlign w:val="cente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ТОВ "КП Теплоенергія"</w:t>
            </w:r>
          </w:p>
        </w:tc>
        <w:tc>
          <w:tcPr>
            <w:vAlign w:val="cente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36,8</w:t>
            </w:r>
          </w:p>
        </w:tc>
      </w:tr>
      <w:tr>
        <w:trPr>
          <w:cantSplit w:val="0"/>
          <w:trHeight w:val="300" w:hRule="atLeast"/>
          <w:tblHeader w:val="0"/>
        </w:trPr>
        <w:tc>
          <w:tcPr>
            <w:vAlign w:val="cente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ФОП Манукіян В.Л</w:t>
            </w:r>
          </w:p>
        </w:tc>
        <w:tc>
          <w:tcPr>
            <w:vAlign w:val="cente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25,2</w:t>
            </w:r>
          </w:p>
        </w:tc>
      </w:tr>
      <w:tr>
        <w:trPr>
          <w:cantSplit w:val="0"/>
          <w:trHeight w:val="300" w:hRule="atLeast"/>
          <w:tblHeader w:val="0"/>
        </w:trPr>
        <w:tc>
          <w:tcPr>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ФОП Потапчук Г.В</w:t>
            </w:r>
          </w:p>
        </w:tc>
        <w:tc>
          <w:tcPr>
            <w:vAlign w:val="cente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21,9</w:t>
            </w:r>
          </w:p>
        </w:tc>
      </w:tr>
      <w:tr>
        <w:trPr>
          <w:cantSplit w:val="0"/>
          <w:trHeight w:val="300" w:hRule="atLeast"/>
          <w:tblHeader w:val="0"/>
        </w:trPr>
        <w:tc>
          <w:tcPr>
            <w:vAlign w:val="cente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ТОВ "Теплоплюс"</w:t>
            </w:r>
          </w:p>
        </w:tc>
        <w:tc>
          <w:tcPr>
            <w:vAlign w:val="cente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20,5</w:t>
            </w:r>
          </w:p>
        </w:tc>
      </w:tr>
      <w:tr>
        <w:trPr>
          <w:cantSplit w:val="0"/>
          <w:trHeight w:val="300" w:hRule="atLeast"/>
          <w:tblHeader w:val="0"/>
        </w:trPr>
        <w:tc>
          <w:tcPr>
            <w:vAlign w:val="cente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ФОП Можарівська Л.В</w:t>
            </w:r>
          </w:p>
        </w:tc>
        <w:tc>
          <w:tcPr>
            <w:vAlign w:val="cente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17,6</w:t>
            </w:r>
          </w:p>
        </w:tc>
      </w:tr>
      <w:tr>
        <w:trPr>
          <w:cantSplit w:val="0"/>
          <w:trHeight w:val="300" w:hRule="atLeast"/>
          <w:tblHeader w:val="0"/>
        </w:trPr>
        <w:tc>
          <w:tcPr>
            <w:vAlign w:val="cente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ТОВ "Макс Дент"</w:t>
            </w:r>
          </w:p>
        </w:tc>
        <w:tc>
          <w:tcPr>
            <w:vAlign w:val="cente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14,8</w:t>
            </w:r>
          </w:p>
        </w:tc>
      </w:tr>
    </w:tbl>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69" w:right="0" w:hanging="502.070866141732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підвищення ефективності використання об’єктів майна комунальної власності територіальної громади та приведення процедури орендних відносин до норм Закону України «Про оренду державного та комунального майна» Відділом підготовлено 4 проєкти рішень про затвердження Переліків першого та другого типу об’єктів комунальної власності територіальної громади, що підлягають передачі в оренду на аукціоні та без проведення аукціону. Затвердженими переліками, станом на дату надання звіту, охоплено 94 об’єкти нерухомого майна, балансоутримувачами якого є відділ освіти, відділ культури, молоді та спорту, відділ капітального будівництва, комунальної власності та ЖКГ Сквирської міської ради, комунальні некомерційні підприємства та комунальні установи Сквирської міської ради, зокрема: «Сквирська центральна міська лікарня», «Сквирський центр первинної медико-санітарної допомоги», «Центр надання соціальних послуг», «Сквирське комунальне господарство», «Сквирська центральна аптека №25» та Сквирська міська рада безпосередньо.</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Відповідно до етапності передачі майна в оренду передбачено прийняття рішень про намір та затвердження умов оренди об’єктів нерухомого майна, включеного до переліків з процедурою проведення електронних аукціонів та таких, які підлягають передачі без проведення електронних торгів. Відділом розроблено 16 проєкт рішень про намір передати майно комунальної власності через аукціон та 11 проєктів рішень про затвердження умов оренди без проведення електронних аукціонів.</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електронній торговій системі, через особистий кабінет організатора орендного процесу, внесена інформація по об’єктах, щодо яких прийняті відповідні рішення. Опрацьовано 14  заяв від потенційних орендарів, балансоутримувачів комунального майна.</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 новою процедурою передачі майна в оренду без проведення електронних аукціонів станом на 01.10.2022 Відділом підготовлено 21 договір оренди з підприємствами, установами, організаціями, які фінансуються з місцевого бюджету. Проводиться робота щодо підписання договорів оренди з АТ «Укрпошта», таких об’єктів на території громади, які використовуються для розміщення об`єктів поштового зв’язку – 9, направлено проєкти договорів для узгодження відомостей орендаря та подальше підписання.</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По всіх об’єктах, які включені до переліку Другого типу, в ЕТС розміщено інформаційні повідомлення про передачу об’єктів нерухомого майна без проведення аукціону. В ЕТС опубліковано всі договори оренди, які підписані в звітний період в термін, визначений законодавством.</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Підготовлено, підписано та опубліковано в ЕТС 6 додаткових угод до договорів оренди в частині змін сторони балансоутримувачів, зменшення орендованих площ та 5 додаткових угод про дострокове розірвання договорів з причин відсутньої потреби у подальшому використанні орендованих приміщень та ліквідації підприємства.</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Щодо діючих договорів оренди нерухомого майна, Відділом сформовано реєстр таких договорів з 16 об’єктів, щомісячно ведеться аналіз стану сплати орендної плати з метою недопущення платниками заборгованості та забезпечення виконання запланованого показника даного виду податку місцевого бюджету.</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Забезпечено та опрацьована вся необхідна інформація для початку проведення електронних аукціонів. Підготовлено 54 оголошення про передачу майна комунальної власності через аукціон, які розміщено в електронній торговій системі для проведення безпосередньо аукціонних процедур, станом на 01.10.2022 року відбулося 43 успішних аукціонів, після їх завершення з переможцями підписано протоколи електронних торгів та договори оренди, які в терміни визначені електронною системою опубліковані на майданчику «Закупки.Пром.Уа».</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Відділом підготовлено та передано на переоцінку 41 (сорок одну) інвентарну справу, по об’єктах нерухомого майна комунальної власності, які потребували здійснення переоцінки майнової вартості та приведення її до реальної ринкової.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Підготовлено 5 проєктів рішень на засідання виконавчого комітету про затвердження експертної оцінки майна по 41 (сорока одному) такому об`єкту.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Працівниками відділу постійно ведеться методична, інформаційна, роз`яснювальна робота з орендарями, балансоутримувачами майна комунальної власності та приведення процедури орендних відносин відповідно до вимог Закону України «Про оренду державного та комунального майна».</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Відділом протягом звітного періоду підготовлено та прийнято Сквирською міською радою 34 рішень з питань оренди комунального майна, розглянуто 96 заяв та звернень, відправлено 15 листів та запитів на звернення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заявників.</w:t>
      </w:r>
      <w:r w:rsidDel="00000000" w:rsidR="00000000" w:rsidRPr="00000000">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Відділ виконує функції щодо підготовки об’єктів нерухомого майна до приватизації. В кінці 2021 року відділом було підготовлено перелік об’єктів комунальної власності Сквирської міської  територіальної громади, що підлягають приватизації у 2022 році шляхом продажу на аукціоні, та подано його на затвердження сесії Сквирської міської ради.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 2022 році рішенням Сквирської міської ради від 14.09.2022 №18-24-VIII  «Про затвердження переліку об’єктів комунальної власності Сквирської міської територіальної громади, що підлягають приватизації у 2022 році шляхом продажу на аукціонах, в новій редакції» затверджено Перелік в новій редакції значно збільшений.</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метою початку процедури приватизації підготовлено та прийняте рішення </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від 14.09.2022 №19-24-VIII «Про надання дозволу на приватизацію нежитлової будівлі, розташованої за адресою: вул.Центральна, 93, с.Великополовецьке Білоцерківського району Київської області» та  від 14.09.2022 №17-24-VIII «Про затвердження Положення про діяльність аукціонної комісії для продажу об’єктів малої приватизації Сквирської міської територіальної громади та складу комісії». </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Укладено договір з оператором електронного майданчика - ТОВ «Е-ТЕНДЕР» на проведення електронних аукціонів.</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17.10.2022 проведено засідання аукціонної комісії для продажу об’єктів малої приватизації Сквирської міської територіальної громади, якою розроблено інформаційне повідомлення про продаж про  приватизацію об’єкта малої приватизації - нежитлової будівлі, розташованої за адресою: вул.Центральна, 93, с.Великополовецьке, Білоцерківський район, Київська область. </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Проєкт рішення «Про затвердження умов продажу об’єкта малої приватизації - нежитлової будівлі, розташованої за адресою: вул.Центральна, 93, с.Великополовецьке, Білоцерківський район, Київська область» та протокол аукціонної комісії внесено на розгляд поточної сесії.</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66.9291338582675"/>
        <w:jc w:val="both"/>
        <w:rPr>
          <w:rFonts w:ascii="Times New Roman" w:cs="Times New Roman" w:eastAsia="Times New Roman" w:hAnsi="Times New Roman"/>
          <w:b w:val="0"/>
          <w:i w:val="0"/>
          <w:smallCaps w:val="0"/>
          <w:strike w:val="0"/>
          <w:color w:val="0070c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70c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Начальниця відділу капітального </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будівництва, комунальної власності</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та житлово-комунального господарства</w:t>
      </w: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Сквирської міської ради                                                 Наталя КАПІТАНЮК</w:t>
      </w: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6521"/>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Секретар міської ради                                                       Тетяна  ВЛАСЮК </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highlight w:val="white"/>
          <w:u w:val="none"/>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sectPr>
      <w:headerReference r:id="rId9" w:type="default"/>
      <w:pgSz w:h="16838" w:w="11906" w:orient="portrait"/>
      <w:pgMar w:bottom="709" w:top="992.1259842519685" w:left="1701" w:right="577.204724409448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2">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Звичайний">
    <w:name w:val="Звичайний"/>
    <w:next w:val="Звичайний"/>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Заголовок1">
    <w:name w:val="Заголовок 1"/>
    <w:basedOn w:val="Звичайний"/>
    <w:next w:val="Звичайний"/>
    <w:autoRedefine w:val="0"/>
    <w:hidden w:val="0"/>
    <w:qFormat w:val="0"/>
    <w:pPr>
      <w:keepNext w:val="1"/>
      <w:suppressAutoHyphens w:val="1"/>
      <w:spacing w:line="1" w:lineRule="atLeast"/>
      <w:ind w:leftChars="-1" w:rightChars="0" w:firstLineChars="-1"/>
      <w:jc w:val="center"/>
      <w:textDirection w:val="btLr"/>
      <w:textAlignment w:val="top"/>
      <w:outlineLvl w:val="0"/>
    </w:pPr>
    <w:rPr>
      <w:rFonts w:ascii="Cambria" w:hAnsi="Cambria"/>
      <w:b w:val="1"/>
      <w:bCs w:val="1"/>
      <w:w w:val="100"/>
      <w:kern w:val="32"/>
      <w:position w:val="-1"/>
      <w:sz w:val="32"/>
      <w:szCs w:val="32"/>
      <w:effect w:val="none"/>
      <w:vertAlign w:val="baseline"/>
      <w:cs w:val="0"/>
      <w:em w:val="none"/>
      <w:lang w:bidi="ar-SA" w:eastAsia="und" w:val="und"/>
    </w:rPr>
  </w:style>
  <w:style w:type="paragraph" w:styleId="Заголовок2">
    <w:name w:val="Заголовок 2"/>
    <w:basedOn w:val="Звичайний"/>
    <w:next w:val="Звичайний"/>
    <w:autoRedefine w:val="0"/>
    <w:hidden w:val="0"/>
    <w:qFormat w:val="1"/>
    <w:pPr>
      <w:keepNext w:val="1"/>
      <w:suppressAutoHyphens w:val="1"/>
      <w:spacing w:after="60" w:before="240" w:line="1" w:lineRule="atLeast"/>
      <w:ind w:leftChars="-1" w:rightChars="0" w:firstLineChars="-1"/>
      <w:textDirection w:val="btLr"/>
      <w:textAlignment w:val="top"/>
      <w:outlineLvl w:val="1"/>
    </w:pPr>
    <w:rPr>
      <w:rFonts w:ascii="Cambria" w:hAnsi="Cambria"/>
      <w:b w:val="1"/>
      <w:bCs w:val="1"/>
      <w:i w:val="1"/>
      <w:iCs w:val="1"/>
      <w:w w:val="100"/>
      <w:position w:val="-1"/>
      <w:sz w:val="28"/>
      <w:szCs w:val="28"/>
      <w:effect w:val="none"/>
      <w:vertAlign w:val="baseline"/>
      <w:cs w:val="0"/>
      <w:em w:val="none"/>
      <w:lang w:bidi="ar-SA" w:eastAsia="und" w:val="und"/>
    </w:rPr>
  </w:style>
  <w:style w:type="paragraph" w:styleId="Заголовок3">
    <w:name w:val="Заголовок 3"/>
    <w:basedOn w:val="Звичайний"/>
    <w:next w:val="Звичайний"/>
    <w:autoRedefine w:val="0"/>
    <w:hidden w:val="0"/>
    <w:qFormat w:val="0"/>
    <w:pPr>
      <w:keepNext w:val="1"/>
      <w:suppressAutoHyphens w:val="1"/>
      <w:spacing w:line="1" w:lineRule="atLeast"/>
      <w:ind w:leftChars="-1" w:rightChars="0" w:firstLineChars="-1"/>
      <w:jc w:val="center"/>
      <w:textDirection w:val="btLr"/>
      <w:textAlignment w:val="top"/>
      <w:outlineLvl w:val="2"/>
    </w:pPr>
    <w:rPr>
      <w:rFonts w:ascii="Cambria" w:hAnsi="Cambria"/>
      <w:b w:val="1"/>
      <w:bCs w:val="1"/>
      <w:w w:val="100"/>
      <w:position w:val="-1"/>
      <w:sz w:val="26"/>
      <w:szCs w:val="26"/>
      <w:effect w:val="none"/>
      <w:vertAlign w:val="baseline"/>
      <w:cs w:val="0"/>
      <w:em w:val="none"/>
      <w:lang w:bidi="ar-SA" w:eastAsia="und" w:val="und"/>
    </w:rPr>
  </w:style>
  <w:style w:type="paragraph" w:styleId="Заголовок4">
    <w:name w:val="Заголовок 4"/>
    <w:basedOn w:val="Звичайний"/>
    <w:next w:val="Звичайний"/>
    <w:autoRedefine w:val="0"/>
    <w:hidden w:val="0"/>
    <w:qFormat w:val="0"/>
    <w:pPr>
      <w:keepNext w:val="1"/>
      <w:suppressAutoHyphens w:val="1"/>
      <w:spacing w:line="1" w:lineRule="atLeast"/>
      <w:ind w:leftChars="-1" w:rightChars="0" w:firstLineChars="-1"/>
      <w:jc w:val="center"/>
      <w:textDirection w:val="btLr"/>
      <w:textAlignment w:val="top"/>
      <w:outlineLvl w:val="3"/>
    </w:pPr>
    <w:rPr>
      <w:rFonts w:ascii="Calibri" w:hAnsi="Calibri"/>
      <w:b w:val="1"/>
      <w:bCs w:val="1"/>
      <w:w w:val="100"/>
      <w:position w:val="-1"/>
      <w:sz w:val="28"/>
      <w:szCs w:val="28"/>
      <w:effect w:val="none"/>
      <w:vertAlign w:val="baseline"/>
      <w:cs w:val="0"/>
      <w:em w:val="none"/>
      <w:lang w:bidi="ar-SA" w:eastAsia="und" w:val="und"/>
    </w:rPr>
  </w:style>
  <w:style w:type="character" w:styleId="Шрифтабзацузазамовчуванням">
    <w:name w:val="Шрифт абзацу за замовчуванням"/>
    <w:next w:val="Шрифтабзацузазамовчуванням"/>
    <w:autoRedefine w:val="0"/>
    <w:hidden w:val="0"/>
    <w:qFormat w:val="1"/>
    <w:rPr>
      <w:w w:val="100"/>
      <w:position w:val="-1"/>
      <w:effect w:val="none"/>
      <w:vertAlign w:val="baseline"/>
      <w:cs w:val="0"/>
      <w:em w:val="none"/>
      <w:lang/>
    </w:rPr>
  </w:style>
  <w:style w:type="table" w:styleId="Звичайнатаблиця">
    <w:name w:val="Звичайна таблиця"/>
    <w:next w:val="Звичайнатаблиця"/>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Немаєсписку">
    <w:name w:val="Немає списку"/>
    <w:next w:val="Немаєсписку"/>
    <w:autoRedefine w:val="0"/>
    <w:hidden w:val="0"/>
    <w:qFormat w:val="1"/>
    <w:pPr>
      <w:suppressAutoHyphens w:val="1"/>
      <w:spacing w:line="1" w:lineRule="atLeast"/>
      <w:ind w:leftChars="-1" w:rightChars="0" w:firstLineChars="-1"/>
      <w:textDirection w:val="btLr"/>
      <w:textAlignment w:val="top"/>
      <w:outlineLvl w:val="0"/>
    </w:pPr>
  </w:style>
  <w:style w:type="character" w:styleId="Заголовок1Знак">
    <w:name w:val="Заголовок 1 Знак"/>
    <w:next w:val="Заголовок1Знак"/>
    <w:autoRedefine w:val="0"/>
    <w:hidden w:val="0"/>
    <w:qFormat w:val="0"/>
    <w:rPr>
      <w:rFonts w:ascii="Cambria" w:cs="Times New Roman" w:hAnsi="Cambria"/>
      <w:b w:val="1"/>
      <w:bCs w:val="1"/>
      <w:w w:val="100"/>
      <w:kern w:val="32"/>
      <w:position w:val="-1"/>
      <w:sz w:val="32"/>
      <w:szCs w:val="32"/>
      <w:effect w:val="none"/>
      <w:vertAlign w:val="baseline"/>
      <w:cs w:val="0"/>
      <w:em w:val="none"/>
      <w:lang/>
    </w:rPr>
  </w:style>
  <w:style w:type="character" w:styleId="Заголовок3Знак">
    <w:name w:val="Заголовок 3 Знак"/>
    <w:next w:val="Заголовок3Знак"/>
    <w:autoRedefine w:val="0"/>
    <w:hidden w:val="0"/>
    <w:qFormat w:val="0"/>
    <w:rPr>
      <w:rFonts w:ascii="Cambria" w:cs="Times New Roman" w:hAnsi="Cambria"/>
      <w:b w:val="1"/>
      <w:bCs w:val="1"/>
      <w:w w:val="100"/>
      <w:position w:val="-1"/>
      <w:sz w:val="26"/>
      <w:szCs w:val="26"/>
      <w:effect w:val="none"/>
      <w:vertAlign w:val="baseline"/>
      <w:cs w:val="0"/>
      <w:em w:val="none"/>
      <w:lang/>
    </w:rPr>
  </w:style>
  <w:style w:type="character" w:styleId="Заголовок4Знак">
    <w:name w:val="Заголовок 4 Знак"/>
    <w:next w:val="Заголовок4Знак"/>
    <w:autoRedefine w:val="0"/>
    <w:hidden w:val="0"/>
    <w:qFormat w:val="0"/>
    <w:rPr>
      <w:rFonts w:ascii="Calibri" w:cs="Times New Roman" w:hAnsi="Calibri"/>
      <w:b w:val="1"/>
      <w:bCs w:val="1"/>
      <w:w w:val="100"/>
      <w:position w:val="-1"/>
      <w:sz w:val="28"/>
      <w:szCs w:val="28"/>
      <w:effect w:val="none"/>
      <w:vertAlign w:val="baseline"/>
      <w:cs w:val="0"/>
      <w:em w:val="none"/>
      <w:lang/>
    </w:rPr>
  </w:style>
  <w:style w:type="paragraph" w:styleId="Абзацсписку">
    <w:name w:val="Абзац списку"/>
    <w:basedOn w:val="Звичайний"/>
    <w:next w:val="Абзацсписку"/>
    <w:autoRedefine w:val="0"/>
    <w:hidden w:val="0"/>
    <w:qFormat w:val="0"/>
    <w:pPr>
      <w:suppressAutoHyphens w:val="1"/>
      <w:spacing w:line="1" w:lineRule="atLeast"/>
      <w:ind w:left="720" w:leftChars="-1" w:rightChars="0" w:firstLineChars="-1"/>
      <w:contextualSpacing w:val="1"/>
      <w:textDirection w:val="btLr"/>
      <w:textAlignment w:val="top"/>
      <w:outlineLvl w:val="0"/>
    </w:pPr>
    <w:rPr>
      <w:w w:val="100"/>
      <w:position w:val="-1"/>
      <w:sz w:val="24"/>
      <w:szCs w:val="24"/>
      <w:effect w:val="none"/>
      <w:vertAlign w:val="baseline"/>
      <w:cs w:val="0"/>
      <w:em w:val="none"/>
      <w:lang w:bidi="ar-SA" w:eastAsia="ru-RU" w:val="ru-RU"/>
    </w:rPr>
  </w:style>
  <w:style w:type="paragraph" w:styleId="Верхнійколонтитул">
    <w:name w:val="Верхній колонтитул"/>
    <w:basedOn w:val="Звичайний"/>
    <w:next w:val="Верхнійколонтитул"/>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ВерхнійколонтитулЗнак">
    <w:name w:val="Верхній колонтитул Знак"/>
    <w:next w:val="ВерхнійколонтитулЗнак"/>
    <w:autoRedefine w:val="0"/>
    <w:hidden w:val="0"/>
    <w:qFormat w:val="0"/>
    <w:rPr>
      <w:w w:val="100"/>
      <w:position w:val="-1"/>
      <w:sz w:val="24"/>
      <w:szCs w:val="24"/>
      <w:effect w:val="none"/>
      <w:vertAlign w:val="baseline"/>
      <w:cs w:val="0"/>
      <w:em w:val="none"/>
      <w:lang/>
    </w:rPr>
  </w:style>
  <w:style w:type="paragraph" w:styleId="Нижнійколонтитул">
    <w:name w:val="Нижній колонтитул"/>
    <w:basedOn w:val="Звичайний"/>
    <w:next w:val="Нижнійколонтитул"/>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НижнійколонтитулЗнак">
    <w:name w:val="Нижній колонтитул Знак"/>
    <w:next w:val="НижнійколонтитулЗнак"/>
    <w:autoRedefine w:val="0"/>
    <w:hidden w:val="0"/>
    <w:qFormat w:val="0"/>
    <w:rPr>
      <w:w w:val="100"/>
      <w:position w:val="-1"/>
      <w:sz w:val="24"/>
      <w:szCs w:val="24"/>
      <w:effect w:val="none"/>
      <w:vertAlign w:val="baseline"/>
      <w:cs w:val="0"/>
      <w:em w:val="none"/>
      <w:lang/>
    </w:rPr>
  </w:style>
  <w:style w:type="paragraph" w:styleId="Текстувиносці">
    <w:name w:val="Текст у виносці"/>
    <w:basedOn w:val="Звичайний"/>
    <w:next w:val="Текстувиносці"/>
    <w:autoRedefine w:val="0"/>
    <w:hidden w:val="0"/>
    <w:qFormat w:val="0"/>
    <w:pPr>
      <w:suppressAutoHyphens w:val="1"/>
      <w:spacing w:line="1" w:lineRule="atLeast"/>
      <w:ind w:leftChars="-1" w:rightChars="0" w:firstLineChars="-1"/>
      <w:textDirection w:val="btLr"/>
      <w:textAlignment w:val="top"/>
      <w:outlineLvl w:val="0"/>
    </w:pPr>
    <w:rPr>
      <w:rFonts w:ascii="Tahoma" w:hAnsi="Tahoma"/>
      <w:w w:val="100"/>
      <w:position w:val="-1"/>
      <w:sz w:val="16"/>
      <w:szCs w:val="16"/>
      <w:effect w:val="none"/>
      <w:vertAlign w:val="baseline"/>
      <w:cs w:val="0"/>
      <w:em w:val="none"/>
      <w:lang w:bidi="ar-SA" w:eastAsia="und" w:val="und"/>
    </w:rPr>
  </w:style>
  <w:style w:type="character" w:styleId="ТекстувиносціЗнак">
    <w:name w:val="Текст у виносці Знак"/>
    <w:next w:val="ТекстувиносціЗнак"/>
    <w:autoRedefine w:val="0"/>
    <w:hidden w:val="0"/>
    <w:qFormat w:val="0"/>
    <w:rPr>
      <w:rFonts w:ascii="Tahoma" w:cs="Tahoma" w:hAnsi="Tahoma"/>
      <w:w w:val="100"/>
      <w:position w:val="-1"/>
      <w:sz w:val="16"/>
      <w:szCs w:val="16"/>
      <w:effect w:val="none"/>
      <w:vertAlign w:val="baseline"/>
      <w:cs w:val="0"/>
      <w:em w:val="none"/>
      <w:lang/>
    </w:rPr>
  </w:style>
  <w:style w:type="paragraph" w:styleId="Основнийтекст">
    <w:name w:val="Основний текст"/>
    <w:basedOn w:val="Звичайний"/>
    <w:next w:val="Основнийтекст"/>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nd" w:val="uk-UA"/>
    </w:rPr>
  </w:style>
  <w:style w:type="character" w:styleId="ОсновнийтекстЗнак">
    <w:name w:val="Основний текст Знак"/>
    <w:next w:val="ОсновнийтекстЗнак"/>
    <w:autoRedefine w:val="0"/>
    <w:hidden w:val="0"/>
    <w:qFormat w:val="0"/>
    <w:rPr>
      <w:w w:val="100"/>
      <w:position w:val="-1"/>
      <w:sz w:val="24"/>
      <w:szCs w:val="24"/>
      <w:effect w:val="none"/>
      <w:vertAlign w:val="baseline"/>
      <w:cs w:val="0"/>
      <w:em w:val="none"/>
      <w:lang w:val="uk-UA"/>
    </w:rPr>
  </w:style>
  <w:style w:type="paragraph" w:styleId="Основнийтекстзвідступом2">
    <w:name w:val="Основний текст з відступом 2"/>
    <w:basedOn w:val="Звичайний"/>
    <w:next w:val="Основнийтекстзвідступом2"/>
    <w:autoRedefine w:val="0"/>
    <w:hidden w:val="0"/>
    <w:qFormat w:val="0"/>
    <w:pPr>
      <w:suppressAutoHyphens w:val="1"/>
      <w:spacing w:after="120" w:line="480" w:lineRule="auto"/>
      <w:ind w:left="283" w:leftChars="-1" w:rightChars="0" w:firstLineChars="-1"/>
      <w:textDirection w:val="btLr"/>
      <w:textAlignment w:val="top"/>
      <w:outlineLvl w:val="0"/>
    </w:pPr>
    <w:rPr>
      <w:w w:val="100"/>
      <w:position w:val="-1"/>
      <w:sz w:val="24"/>
      <w:szCs w:val="24"/>
      <w:effect w:val="none"/>
      <w:vertAlign w:val="baseline"/>
      <w:cs w:val="0"/>
      <w:em w:val="none"/>
      <w:lang w:bidi="ar-SA" w:eastAsia="und" w:val="und"/>
    </w:rPr>
  </w:style>
  <w:style w:type="character" w:styleId="Основнийтекстзвідступом2Знак">
    <w:name w:val="Основний текст з відступом 2 Знак"/>
    <w:next w:val="Основнийтекстзвідступом2Знак"/>
    <w:autoRedefine w:val="0"/>
    <w:hidden w:val="0"/>
    <w:qFormat w:val="0"/>
    <w:rPr>
      <w:w w:val="100"/>
      <w:position w:val="-1"/>
      <w:sz w:val="24"/>
      <w:szCs w:val="24"/>
      <w:effect w:val="none"/>
      <w:vertAlign w:val="baseline"/>
      <w:cs w:val="0"/>
      <w:em w:val="none"/>
      <w:lang/>
    </w:rPr>
  </w:style>
  <w:style w:type="character" w:styleId="apple-converted-space">
    <w:name w:val="apple-converted-space"/>
    <w:next w:val="apple-converted-space"/>
    <w:autoRedefine w:val="0"/>
    <w:hidden w:val="0"/>
    <w:qFormat w:val="0"/>
    <w:rPr>
      <w:w w:val="100"/>
      <w:position w:val="-1"/>
      <w:effect w:val="none"/>
      <w:vertAlign w:val="baseline"/>
      <w:cs w:val="0"/>
      <w:em w:val="none"/>
      <w:lang/>
    </w:rPr>
  </w:style>
  <w:style w:type="paragraph" w:styleId="Звичайний(веб)">
    <w:name w:val="Звичайний (веб)"/>
    <w:basedOn w:val="Звичайний"/>
    <w:next w:val="Звичайний(веб)"/>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paragraph" w:styleId="Безінтервалів">
    <w:name w:val="Без інтервалів"/>
    <w:next w:val="Безінтервалів"/>
    <w:autoRedefine w:val="0"/>
    <w:hidden w:val="0"/>
    <w:qFormat w:val="0"/>
    <w:pPr>
      <w:suppressAutoHyphens w:val="1"/>
      <w:spacing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ru-RU" w:val="ru-RU"/>
    </w:rPr>
  </w:style>
  <w:style w:type="character" w:styleId="FontStyle15">
    <w:name w:val="Font Style15"/>
    <w:next w:val="FontStyle15"/>
    <w:autoRedefine w:val="0"/>
    <w:hidden w:val="0"/>
    <w:qFormat w:val="0"/>
    <w:rPr>
      <w:rFonts w:ascii="Times New Roman" w:cs="Times New Roman" w:hAnsi="Times New Roman" w:hint="default"/>
      <w:w w:val="100"/>
      <w:position w:val="-1"/>
      <w:sz w:val="26"/>
      <w:effect w:val="none"/>
      <w:vertAlign w:val="baseline"/>
      <w:cs w:val="0"/>
      <w:em w:val="none"/>
      <w:lang/>
    </w:rPr>
  </w:style>
  <w:style w:type="character" w:styleId="Заголовок2Знак">
    <w:name w:val="Заголовок 2 Знак"/>
    <w:next w:val="Заголовок2Знак"/>
    <w:autoRedefine w:val="0"/>
    <w:hidden w:val="0"/>
    <w:qFormat w:val="0"/>
    <w:rPr>
      <w:rFonts w:ascii="Cambria" w:cs="Times New Roman" w:eastAsia="Times New Roman" w:hAnsi="Cambria"/>
      <w:b w:val="1"/>
      <w:bCs w:val="1"/>
      <w:i w:val="1"/>
      <w:iCs w:val="1"/>
      <w:w w:val="100"/>
      <w:position w:val="-1"/>
      <w:sz w:val="28"/>
      <w:szCs w:val="28"/>
      <w:effect w:val="none"/>
      <w:vertAlign w:val="baseline"/>
      <w:cs w:val="0"/>
      <w:em w:val="none"/>
      <w:lang/>
    </w:rPr>
  </w:style>
  <w:style w:type="paragraph" w:styleId="заголовок2">
    <w:name w:val="заголовок 2"/>
    <w:basedOn w:val="Звичайний"/>
    <w:next w:val="Звичайний"/>
    <w:autoRedefine w:val="0"/>
    <w:hidden w:val="0"/>
    <w:qFormat w:val="0"/>
    <w:pPr>
      <w:keepNext w:val="1"/>
      <w:pBdr>
        <w:bottom w:color="auto" w:space="1" w:sz="12" w:val="single"/>
      </w:pBdr>
      <w:suppressAutoHyphens w:val="1"/>
      <w:spacing w:line="1" w:lineRule="atLeast"/>
      <w:ind w:leftChars="-1" w:rightChars="0" w:firstLineChars="-1"/>
      <w:jc w:val="center"/>
      <w:textDirection w:val="btLr"/>
      <w:textAlignment w:val="top"/>
      <w:outlineLvl w:val="1"/>
    </w:pPr>
    <w:rPr>
      <w:rFonts w:ascii="Times NR Cyr MT" w:hAnsi="Times NR Cyr MT"/>
      <w:b w:val="1"/>
      <w:w w:val="100"/>
      <w:position w:val="-1"/>
      <w:sz w:val="24"/>
      <w:szCs w:val="20"/>
      <w:effect w:val="none"/>
      <w:vertAlign w:val="baseline"/>
      <w:cs w:val="0"/>
      <w:em w:val="none"/>
      <w:lang w:bidi="ar-SA" w:eastAsia="ru-RU" w:val="uk-UA"/>
    </w:rPr>
  </w:style>
  <w:style w:type="table" w:styleId="Сіткатаблиці">
    <w:name w:val="Сітка таблиці"/>
    <w:basedOn w:val="Звичайнатаблиця"/>
    <w:next w:val="Сіткатаблиці"/>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Сіткатаблиці"/>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rvps2">
    <w:name w:val="rvps2"/>
    <w:basedOn w:val="Звичайний"/>
    <w:next w:val="rvps2"/>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w w:val="100"/>
      <w:position w:val="-1"/>
      <w:sz w:val="24"/>
      <w:szCs w:val="24"/>
      <w:effect w:val="none"/>
      <w:vertAlign w:val="baseline"/>
      <w:cs w:val="0"/>
      <w:em w:val="none"/>
      <w:lang w:bidi="ar-SA" w:eastAsia="uk-UA" w:val="uk-UA"/>
    </w:rPr>
  </w:style>
  <w:style w:type="character" w:styleId="rvts9">
    <w:name w:val="rvts9"/>
    <w:basedOn w:val="Шрифтабзацузазамовчуванням"/>
    <w:next w:val="rvts9"/>
    <w:autoRedefine w:val="0"/>
    <w:hidden w:val="0"/>
    <w:qFormat w:val="0"/>
    <w:rPr>
      <w:w w:val="100"/>
      <w:position w:val="-1"/>
      <w:effect w:val="none"/>
      <w:vertAlign w:val="baseline"/>
      <w:cs w:val="0"/>
      <w:em w:val="none"/>
      <w:lang/>
    </w:rPr>
  </w:style>
  <w:style w:type="character" w:styleId="БезінтервалівЗнак">
    <w:name w:val="Без інтервалів Знак"/>
    <w:next w:val="БезінтервалівЗнак"/>
    <w:autoRedefine w:val="0"/>
    <w:hidden w:val="0"/>
    <w:qFormat w:val="0"/>
    <w:rPr>
      <w:w w:val="100"/>
      <w:position w:val="-1"/>
      <w:sz w:val="24"/>
      <w:szCs w:val="24"/>
      <w:effect w:val="none"/>
      <w:vertAlign w:val="baseline"/>
      <w:cs w:val="0"/>
      <w:em w:val="none"/>
      <w:lang w:eastAsia="ru-RU" w:val="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dqhcP+jE7uwfheUirM6p9ygfQw==">AMUW2mV1jcd3L/9DEOD6kvwHeh+LiNFD3g309cW84T43di87cDC0VRMU4+cYTIk6UyjvYlgDjb/9rBtNWzDEdXJor+5tqsY0u53PI/ZtO3vwpoAdFmLVWaHr89YByJXcWMOP1iDLiuMD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2022-10-10T09:04:00Z</dcterms:created>
  <dc:creator>Идеал</dc:creator>
</cp:coreProperties>
</file>